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2010 82 vom 14. Dezember 2010</w:t>
      </w:r>
    </w:p>
    <w:p>
      <w:r>
        <w:t>GR Gerichte, 2010-12-14, DE</w:t>
      </w:r>
    </w:p>
    <w:p>
      <w:r>
        <w:rPr>
          <w:b/>
        </w:rPr>
        <w:t xml:space="preserve">Quelle: </w:t>
      </w:r>
      <w:r>
        <w:t>https://mcp.opencaselaw.ch/entscheid/gr_gerichte_S 2010 82</w:t>
      </w:r>
    </w:p>
    <w:p>
      <w:r>
        <w:t>FR: GR_GERICHTE S 2010 82 du 14 décembre 2010</w:t>
      </w:r>
    </w:p>
    <w:p>
      <w:r>
        <w:t>IT: GR_GERICHTE S 2010 82 del 14 dicembre 2010</w:t>
      </w:r>
    </w:p>
    <w:p>
      <w:pPr>
        <w:pStyle w:val="Heading2"/>
      </w:pPr>
      <w:r>
        <w:t>Regeste</w:t>
      </w:r>
    </w:p>
    <w:p>
      <w:r>
        <w:t>Nachforderung paritätische AHV/IV/EO/ALV-Beiträge | Alters-/Hinterbliebenenvers.</w:t>
      </w:r>
    </w:p>
    <w:p>
      <w:pPr>
        <w:pStyle w:val="Heading2"/>
      </w:pPr>
      <w:r>
        <w:t>Erwägungen</w:t>
      </w:r>
    </w:p>
    <w:p>
      <w:r>
        <w:rPr>
          <w:b/>
        </w:rPr>
        <w:t>E. 2</w:t>
      </w:r>
    </w:p>
    <w:p>
      <w:r>
        <w:t>Am 17. September 2009 erliess die EAK auf Begehren des GS UVEK eine Verfügung, wonach der Versicherte für das Jahr 2009 für seine Tätigkeiten beim UVEK als unselbständig erwerbstätig qualifiziert wurde. Zugleich teilte ihm die EAK mit, dass das UVEK verpflichtet worden sei, für das Jahr 2009 auf der AHV-pflichtigen Lohnsumme von Fr. 47'740.-- insgesamt Fr. 5'740.25 an Beiträgen abzurechnen (10.1% AHV/IV/EO-Beiträge und 2% ALV- Beiträge). Gegenüber dem UVEK wurde die Verfügung noch um 1.94% FAK- Beiträge ergänzt, so dass sich die Beitragsforderung insgesamt auf Fr. 6'660.60 belief. Mit Eingabe vom 16. Oktober 2009 erhob der Versicherte Einsprache gegen diese Verfügung der EAK. Mit Entscheid vom 6. bzw. vom</w:t>
      </w:r>
    </w:p>
    <w:p>
      <w:r>
        <w:t>28. April 2010 wurde die Einsprache abgewiesen und die Verfügung der EAK bestätigt.</w:t>
      </w:r>
    </w:p>
    <w:p>
      <w:r>
        <w:rPr>
          <w:b/>
        </w:rPr>
        <w:t>E. 3</w:t>
      </w:r>
    </w:p>
    <w:p>
      <w:r>
        <w:t>Dagegen erhob … am 27. Mai 2010 form- und fristgerecht Beschwerde beim Verwaltungsgericht des Kantons Graubünden mit dem Antrag, den Einspracheentscheid vom 28. April 2010 und die Verfügung vom 17. September 2009 aufzuheben sowie die bisher erfolgte Abrechnung der AHV/IV/EO/ALV-Beiträge als Selbständigerwerbender zu schützen. Wesentlich sei die Frage, ob seine Tätigkeit als selbständige oder unselbständige Erwerbstätigkeit zu qualifizieren sei. Er sei in betriebswirtschaftlicher und arbeitsorganisatorischer Hinsicht unabhängig, da er im Rahmen der verzugsbegründenden Termine frei sei, wann und auf welche Weise er seine Leistungen erbringen wolle, und da kein Weisungsrecht bestehe. Zudem trage er ein Unternehmerrisiko, da er auf eigene Kosten eine Firmenpräsentation habe erstellen lassen, für die Führung der Buchhaltung eine Treuhandfirma beauftragt, für Versicherungen aufzukommen, als Mitglied eines Berufsverbandes Mitgliederbeiträge zu entrichten, sich selbst um Aufträge zu kümmern und eine Betriebshaftpflichtversicherung abgeschlossen habe. Es sei auch ein Verlustrisiko gegeben, da er im Falle eines Entzugs des Auftrags der Schweizerischen Eidgenossenschaft die laufenden Betriebskosten als Verlust zu tragen habe. Im Übrigen verstiessen der Einspracheentscheid und die Verfügung der EAK gegen das Gebot von Treu und Glauben, da er seit dem Jahr 2003 für Ämter der Schweizerischen Eidgenossenschaft tätig gewesen sei und die Abrechnungen bisher nie über die EAK habe vornehmen müssen. Sodann sei sein rechtliches Gehör verletzt, weil die EAK auf seine Argumente nicht eingegangen sei. Zusammenfassend sei der Entscheid der EAK willkürlich und rechtswidrig und daher aufzuheben.</w:t>
      </w:r>
    </w:p>
    <w:p>
      <w:r>
        <w:rPr>
          <w:b/>
        </w:rPr>
        <w:t>E. 4</w:t>
      </w:r>
    </w:p>
    <w:p>
      <w:r>
        <w:t>In ihrer Vernehmlassung beantragte die EAK die Abweisung der Beschwerde. Im Wesentlichen verwies die EAK auf ihren Einspracheentscheid vom 28. April 2010, wonach für die vorliegende Streitsache die sozialversicherungsrechtliche Unterscheidung zwischen selbständiger und unselbständiger Erwerbstätigkeit massgebend sei. Das Gebot von Treu und</w:t>
      </w:r>
    </w:p>
    <w:p>
      <w:r>
        <w:t>Glauben bzw. der Vertrauensschutz sei nicht verletzt, weil die EAK erst infolge des Revisionsberichts tätig geworden sei und sich früher zur Abrechnung des Beschwerdeführers nicht geäussert habe. Der Beschwerdeführer sei in die Arbeitsorganisation des GS UVEK eingegliedert und habe kein Verlustrisiko zu tragen. Wohl habe er gewisse Investitionen getätigt, jedoch nicht im Hinblick auf die Tätigkeit beim GS UVEK.</w:t>
      </w:r>
    </w:p>
    <w:p>
      <w:r>
        <w:rPr>
          <w:b/>
        </w:rPr>
        <w:t>E. 5</w:t>
      </w:r>
    </w:p>
    <w:p>
      <w:r>
        <w:t>In der Replik bekräftigte der Beschwerdeführer die Ausführungen seiner Beschwerde vom 27. Mai 2010. Er könne sich auf das Gebot von Treu und Glauben berufen, da er die Abrechnungen seit dem Jahr 2003 über seine Einzelfirma vorgenommen habe. Das bestrittene Nichtwissen der EAK über die Abrechnungen sei unbeachtlich, da diese verpflichtet gewesen wäre, die Abrechnungen im Zeitpunkt der Beauftragung zu überprüfen. Der Entscheid der EAK sei willkürlich und verletze den Grundsatz von Treu und Glauben, weil das UVEK – wie auch das Bundesamt für Verkehr – gemäss Ziff. 11 des Vertrags mit dem Beschwerdeführer selbst immer von einem Auftragsverhältnis und einer AHV-rechtlichen selbständigen Erwerbstätigkeit ausgegangen sei. Ein Verlustrisiko sei gegeben, weil der Beschwerdeführer die Kosten der beauftragten Treuhandfirma, die monatlichen Bürokosten, die Investitionen, die Kosten für Versicherungen inklusive Berufshaftpflichtversicherung und die Mitgliederbeiträge für den Berufsverband zu tragen habe. Periodische Sitzungen mit dem Auftraggeber seien durchaus üblich und könnten per se nicht als Indiz für eine selbständige oder unselbständige Erwerbstätigkeit dienen.</w:t>
      </w:r>
    </w:p>
    <w:p>
      <w:r>
        <w:rPr>
          <w:b/>
        </w:rPr>
        <w:t>E. 6</w:t>
      </w:r>
    </w:p>
    <w:p>
      <w:r>
        <w:t>Der angefochtene Einspracheentscheid erweist sich somit als rechtmässig, und die dagegen erhobene Beschwerde ist abzuweisen. Gemäss Art. 61 lit. a des Bundesgesetzes über den Allgemeinen Teil des Sozialversicherungsrechts (ATSG) ist das kantonale Beschwerdeverfahren in Sozialversicherungssachen – ausser bei leichtsinniger oder mutwilliger Prozessführung – kostenlos, weshalb vorliegend keine Kosten erhoben werden. Weder dem Beschwerdeführer noch der Beschwerdegegnerin steht eine Parteientschädigung zu (Art. 61 lit. g ATSG e contrario). Demnach erkennt das Gericht: 1. Die Beschwerde wird abgewiesen. 2. Es werden keine Kosten erhoben. Die dagegen an das Bundesgericht erhobene Beschwerde wurde am 26. April 2011 abgewiesen (9C_132/2011).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